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9743E" w14:textId="7AC9B9E6" w:rsidR="00184BE8" w:rsidRPr="00184BE8" w:rsidRDefault="00184BE8" w:rsidP="00184BE8">
      <w:pPr>
        <w:spacing w:after="0"/>
        <w:jc w:val="right"/>
        <w:rPr>
          <w:rFonts w:ascii="Roboto" w:eastAsia="Roboto" w:hAnsi="Roboto" w:cs="Roboto"/>
          <w:kern w:val="0"/>
          <w:sz w:val="20"/>
          <w:szCs w:val="20"/>
          <w14:ligatures w14:val="none"/>
        </w:rPr>
      </w:pPr>
      <w:r w:rsidRPr="00184BE8"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  <w:t xml:space="preserve">Załącznik nr 1do zapytania ofertowego nr </w:t>
      </w:r>
      <w:r w:rsidR="004158FC"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  <w:t>2</w:t>
      </w:r>
      <w:r w:rsidRPr="00184BE8"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  <w:t>/2026</w:t>
      </w:r>
    </w:p>
    <w:p w14:paraId="713D3846" w14:textId="77777777" w:rsidR="00184BE8" w:rsidRDefault="00184BE8" w:rsidP="00184BE8">
      <w:pPr>
        <w:spacing w:after="120" w:line="240" w:lineRule="auto"/>
        <w:ind w:left="720" w:hanging="360"/>
        <w:jc w:val="both"/>
        <w:rPr>
          <w:rFonts w:ascii="Roboto" w:hAnsi="Roboto" w:cs="Roboto"/>
          <w:b/>
          <w:bCs/>
          <w:sz w:val="20"/>
          <w:szCs w:val="20"/>
          <w:u w:val="single"/>
        </w:rPr>
      </w:pPr>
    </w:p>
    <w:p w14:paraId="421ED60A" w14:textId="4F5496C0" w:rsidR="00184BE8" w:rsidRPr="00184BE8" w:rsidRDefault="00184BE8" w:rsidP="00184BE8">
      <w:pPr>
        <w:spacing w:after="120" w:line="240" w:lineRule="auto"/>
        <w:ind w:left="720" w:hanging="360"/>
        <w:jc w:val="center"/>
        <w:rPr>
          <w:rFonts w:ascii="Roboto" w:hAnsi="Roboto" w:cs="Roboto"/>
          <w:b/>
          <w:bCs/>
          <w:sz w:val="20"/>
          <w:szCs w:val="20"/>
        </w:rPr>
      </w:pPr>
      <w:r w:rsidRPr="00184BE8">
        <w:rPr>
          <w:rFonts w:ascii="Roboto" w:hAnsi="Roboto" w:cs="Roboto"/>
          <w:b/>
          <w:bCs/>
          <w:sz w:val="20"/>
          <w:szCs w:val="20"/>
        </w:rPr>
        <w:t>SZCZEGÓŁOWY OPIS PRZEDMIOTU ZAMÓWIENIA</w:t>
      </w:r>
    </w:p>
    <w:p w14:paraId="15809B06" w14:textId="77777777" w:rsidR="00184BE8" w:rsidRPr="00184BE8" w:rsidRDefault="00184BE8" w:rsidP="00184BE8">
      <w:pPr>
        <w:spacing w:after="120" w:line="240" w:lineRule="auto"/>
        <w:ind w:left="720" w:hanging="360"/>
        <w:jc w:val="both"/>
        <w:rPr>
          <w:rFonts w:ascii="Roboto" w:hAnsi="Roboto"/>
          <w:sz w:val="20"/>
          <w:szCs w:val="20"/>
        </w:rPr>
      </w:pPr>
    </w:p>
    <w:p w14:paraId="4ADA9D40" w14:textId="799C0696" w:rsidR="002F7330" w:rsidRPr="00184BE8" w:rsidRDefault="002F7330" w:rsidP="00184BE8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Roboto" w:hAnsi="Roboto"/>
          <w:b/>
          <w:bCs/>
          <w:sz w:val="20"/>
          <w:szCs w:val="20"/>
        </w:rPr>
      </w:pPr>
      <w:r w:rsidRPr="00184BE8">
        <w:rPr>
          <w:rFonts w:ascii="Roboto" w:hAnsi="Roboto"/>
          <w:b/>
          <w:bCs/>
          <w:sz w:val="20"/>
          <w:szCs w:val="20"/>
        </w:rPr>
        <w:t>PRZEDMIOT ZAMÓWIENIA</w:t>
      </w:r>
    </w:p>
    <w:p w14:paraId="3FCF8BC6" w14:textId="7584CEFF" w:rsidR="002F7330" w:rsidRPr="00184BE8" w:rsidRDefault="002F7330" w:rsidP="00184BE8">
      <w:pPr>
        <w:spacing w:after="120" w:line="240" w:lineRule="auto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Przedmiot zamówienia obejmuje dostawę i montaż urządzeń Europejskiego Systemu Sterowania Pociągiem (ETCS) według wzorca 4 w wersji 2.</w:t>
      </w:r>
      <w:r w:rsidR="002948AE" w:rsidRPr="00184BE8">
        <w:rPr>
          <w:rFonts w:ascii="Roboto" w:hAnsi="Roboto"/>
          <w:sz w:val="20"/>
          <w:szCs w:val="20"/>
        </w:rPr>
        <w:t>1</w:t>
      </w:r>
      <w:r w:rsidRPr="00184BE8">
        <w:rPr>
          <w:rFonts w:ascii="Roboto" w:hAnsi="Roboto"/>
          <w:sz w:val="20"/>
          <w:szCs w:val="20"/>
        </w:rPr>
        <w:t xml:space="preserve">, dla 2 sztuk lokomotyw Zamawiającego </w:t>
      </w:r>
      <w:r w:rsidR="00D3395B" w:rsidRPr="00184BE8">
        <w:rPr>
          <w:rFonts w:ascii="Roboto" w:hAnsi="Roboto"/>
          <w:sz w:val="20"/>
          <w:szCs w:val="20"/>
        </w:rPr>
        <w:t xml:space="preserve">typu Maxima 40 CC </w:t>
      </w:r>
      <w:r w:rsidRPr="00184BE8">
        <w:rPr>
          <w:rFonts w:ascii="Roboto" w:hAnsi="Roboto"/>
          <w:sz w:val="20"/>
          <w:szCs w:val="20"/>
        </w:rPr>
        <w:t>oraz realizację kompleksowych prac związanych z ich wdrożeniem, w tym:</w:t>
      </w:r>
    </w:p>
    <w:p w14:paraId="1831F782" w14:textId="5755361B" w:rsidR="002F7330" w:rsidRPr="00184BE8" w:rsidRDefault="002F7330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Opracowanie dokumentacji projektowej (mechanicznej i elektrycznej);</w:t>
      </w:r>
    </w:p>
    <w:p w14:paraId="70257D06" w14:textId="77777777" w:rsidR="002F7330" w:rsidRPr="00184BE8" w:rsidRDefault="002F7330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Dostawa urządzeń ETCS zgodnych z wymaganiami TSI CCS;</w:t>
      </w:r>
    </w:p>
    <w:p w14:paraId="291F8792" w14:textId="77777777" w:rsidR="002F7330" w:rsidRPr="00184BE8" w:rsidRDefault="002F7330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Instalacja systemu ETCS w pojazdach kolejowych;</w:t>
      </w:r>
    </w:p>
    <w:p w14:paraId="7F08B0BB" w14:textId="1B1D0447" w:rsidR="002F7330" w:rsidRPr="00184BE8" w:rsidRDefault="002F7330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Integracja systemu z istniejącymi systemami pokładowymi</w:t>
      </w:r>
      <w:r w:rsidR="007D740E" w:rsidRPr="00184BE8">
        <w:rPr>
          <w:rFonts w:ascii="Roboto" w:hAnsi="Roboto"/>
          <w:sz w:val="20"/>
          <w:szCs w:val="20"/>
        </w:rPr>
        <w:t>;</w:t>
      </w:r>
    </w:p>
    <w:p w14:paraId="069506AD" w14:textId="77777777" w:rsidR="002F7330" w:rsidRPr="00184BE8" w:rsidRDefault="002F7330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Nadzór nad pracami instalacyjnymi i uruchomieniowymi;</w:t>
      </w:r>
    </w:p>
    <w:p w14:paraId="7E8BD748" w14:textId="77777777" w:rsidR="00662CCE" w:rsidRPr="00184BE8" w:rsidRDefault="00662CCE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Przeprowadzenie testów RSC/ESC,</w:t>
      </w:r>
    </w:p>
    <w:p w14:paraId="1B34EB59" w14:textId="77777777" w:rsidR="002F7330" w:rsidRPr="00184BE8" w:rsidRDefault="002F7330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Uzyskanie niezbędnych certyfikatów w procesie homologacji (</w:t>
      </w:r>
      <w:proofErr w:type="spellStart"/>
      <w:r w:rsidRPr="00184BE8">
        <w:rPr>
          <w:rFonts w:ascii="Roboto" w:hAnsi="Roboto"/>
          <w:sz w:val="20"/>
          <w:szCs w:val="20"/>
        </w:rPr>
        <w:t>NoBo</w:t>
      </w:r>
      <w:proofErr w:type="spellEnd"/>
      <w:r w:rsidRPr="00184BE8">
        <w:rPr>
          <w:rFonts w:ascii="Roboto" w:hAnsi="Roboto"/>
          <w:sz w:val="20"/>
          <w:szCs w:val="20"/>
        </w:rPr>
        <w:t xml:space="preserve">, </w:t>
      </w:r>
      <w:proofErr w:type="spellStart"/>
      <w:r w:rsidRPr="00184BE8">
        <w:rPr>
          <w:rFonts w:ascii="Roboto" w:hAnsi="Roboto"/>
          <w:sz w:val="20"/>
          <w:szCs w:val="20"/>
        </w:rPr>
        <w:t>AsBo</w:t>
      </w:r>
      <w:proofErr w:type="spellEnd"/>
      <w:r w:rsidRPr="00184BE8">
        <w:rPr>
          <w:rFonts w:ascii="Roboto" w:hAnsi="Roboto"/>
          <w:sz w:val="20"/>
          <w:szCs w:val="20"/>
        </w:rPr>
        <w:t>);</w:t>
      </w:r>
    </w:p>
    <w:p w14:paraId="11035E63" w14:textId="77777777" w:rsidR="002F7330" w:rsidRPr="00184BE8" w:rsidRDefault="002F7330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Szkolenie personelu Zamawiającego z zakresu obsługi i utrzymania systemu ETCS;</w:t>
      </w:r>
    </w:p>
    <w:p w14:paraId="03A229CE" w14:textId="206BC654" w:rsidR="0060123F" w:rsidRPr="00184BE8" w:rsidRDefault="002F7330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Pełne wsparcie w procesie uzyskiwania nowego zezwolenia dla pojazdów w zakresie TSI CCS</w:t>
      </w:r>
      <w:r w:rsidR="00173D5F" w:rsidRPr="00184BE8">
        <w:rPr>
          <w:rFonts w:ascii="Roboto" w:hAnsi="Roboto"/>
          <w:sz w:val="20"/>
          <w:szCs w:val="20"/>
        </w:rPr>
        <w:t>;</w:t>
      </w:r>
    </w:p>
    <w:p w14:paraId="274C04B5" w14:textId="36C032E3" w:rsidR="008F2881" w:rsidRPr="00184BE8" w:rsidRDefault="008F2881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Przeprowadzanie w imieniu Zamawiającego procesu homologacji i uzyskanie zezwolenia na dopuszczenie do obrotu;</w:t>
      </w:r>
    </w:p>
    <w:p w14:paraId="61CAB196" w14:textId="77777777" w:rsidR="00662CCE" w:rsidRPr="00184BE8" w:rsidRDefault="00662CCE" w:rsidP="00184BE8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Udzielenie gwarancji na wykonane pracy 24 miesięcy od daty podpisania protokołu odbioru prac.</w:t>
      </w:r>
    </w:p>
    <w:p w14:paraId="367BBFA0" w14:textId="157A467D" w:rsidR="0098290F" w:rsidRPr="00184BE8" w:rsidRDefault="0098290F" w:rsidP="00184BE8">
      <w:pPr>
        <w:spacing w:after="120" w:line="240" w:lineRule="auto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 xml:space="preserve">Dostawy sytemu ETCS jego montaż i homologacja oraz niezbędne testy ESC odbywać się będą zgodnie z zadeklarowanym przez Wykonawcę w ofercie harmonogramem, jednak czynności te zakończą się nie później niż do dnia </w:t>
      </w:r>
      <w:r w:rsidRPr="00184BE8">
        <w:rPr>
          <w:rFonts w:ascii="Roboto" w:hAnsi="Roboto"/>
          <w:b/>
          <w:bCs/>
          <w:sz w:val="20"/>
          <w:szCs w:val="20"/>
        </w:rPr>
        <w:t>3</w:t>
      </w:r>
      <w:r w:rsidR="009A420D" w:rsidRPr="00184BE8">
        <w:rPr>
          <w:rFonts w:ascii="Roboto" w:hAnsi="Roboto"/>
          <w:b/>
          <w:bCs/>
          <w:sz w:val="20"/>
          <w:szCs w:val="20"/>
        </w:rPr>
        <w:t>1</w:t>
      </w:r>
      <w:r w:rsidRPr="00184BE8">
        <w:rPr>
          <w:rFonts w:ascii="Roboto" w:hAnsi="Roboto"/>
          <w:b/>
          <w:bCs/>
          <w:sz w:val="20"/>
          <w:szCs w:val="20"/>
        </w:rPr>
        <w:t>.0</w:t>
      </w:r>
      <w:r w:rsidR="009A420D" w:rsidRPr="00184BE8">
        <w:rPr>
          <w:rFonts w:ascii="Roboto" w:hAnsi="Roboto"/>
          <w:b/>
          <w:bCs/>
          <w:sz w:val="20"/>
          <w:szCs w:val="20"/>
        </w:rPr>
        <w:t>7</w:t>
      </w:r>
      <w:r w:rsidRPr="00184BE8">
        <w:rPr>
          <w:rFonts w:ascii="Roboto" w:hAnsi="Roboto"/>
          <w:b/>
          <w:bCs/>
          <w:sz w:val="20"/>
          <w:szCs w:val="20"/>
        </w:rPr>
        <w:t>.202</w:t>
      </w:r>
      <w:r w:rsidR="009A420D" w:rsidRPr="00184BE8">
        <w:rPr>
          <w:rFonts w:ascii="Roboto" w:hAnsi="Roboto"/>
          <w:b/>
          <w:bCs/>
          <w:sz w:val="20"/>
          <w:szCs w:val="20"/>
        </w:rPr>
        <w:t>8</w:t>
      </w:r>
      <w:r w:rsidRPr="00184BE8">
        <w:rPr>
          <w:rFonts w:ascii="Roboto" w:hAnsi="Roboto"/>
          <w:sz w:val="20"/>
          <w:szCs w:val="20"/>
        </w:rPr>
        <w:t xml:space="preserve"> to znaczy, że do powyższej daty każdy modernizowany pojazd uzyska nowe zezwolenie na wprowadzenie do obrotu, a wykonane testy ESC z wynikiem pozytywnym dla wszystkich obszarów użytkowania lokomotyw zostaną wpisane do ERATV.</w:t>
      </w:r>
    </w:p>
    <w:p w14:paraId="2EF0612D" w14:textId="1488979C" w:rsidR="00411185" w:rsidRPr="00184BE8" w:rsidRDefault="007D740E" w:rsidP="00184BE8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Roboto" w:hAnsi="Roboto"/>
          <w:b/>
          <w:bCs/>
          <w:sz w:val="20"/>
          <w:szCs w:val="20"/>
        </w:rPr>
      </w:pPr>
      <w:r w:rsidRPr="00184BE8">
        <w:rPr>
          <w:rFonts w:ascii="Roboto" w:hAnsi="Roboto"/>
          <w:b/>
          <w:bCs/>
          <w:sz w:val="20"/>
          <w:szCs w:val="20"/>
        </w:rPr>
        <w:t>SZCZEGÓŁOWY ZAKRES ZAMÓWIENIA I PARAMETRY TECHNICZNE</w:t>
      </w:r>
    </w:p>
    <w:p w14:paraId="477DED27" w14:textId="7E2FD928" w:rsidR="00771F4E" w:rsidRPr="00184BE8" w:rsidRDefault="007D740E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Wyprodukowanie w pełni fabrycznie nowego systemu ETCS</w:t>
      </w:r>
      <w:r w:rsidR="002948AE" w:rsidRPr="00184BE8">
        <w:rPr>
          <w:rFonts w:ascii="Roboto" w:hAnsi="Roboto"/>
          <w:sz w:val="20"/>
          <w:szCs w:val="20"/>
        </w:rPr>
        <w:t xml:space="preserve"> według wzorca 4 w wersji 2.1</w:t>
      </w:r>
      <w:r w:rsidRPr="00184BE8">
        <w:rPr>
          <w:rFonts w:ascii="Roboto" w:hAnsi="Roboto"/>
          <w:sz w:val="20"/>
          <w:szCs w:val="20"/>
        </w:rPr>
        <w:t xml:space="preserve">, instalacja sytemu na 2 lokomotywach typu </w:t>
      </w:r>
      <w:r w:rsidR="00771F4E" w:rsidRPr="00184BE8">
        <w:rPr>
          <w:rFonts w:ascii="Roboto" w:hAnsi="Roboto"/>
          <w:sz w:val="20"/>
          <w:szCs w:val="20"/>
        </w:rPr>
        <w:t xml:space="preserve">Maxima 40 CC </w:t>
      </w:r>
      <w:r w:rsidRPr="00184BE8">
        <w:rPr>
          <w:rFonts w:ascii="Roboto" w:hAnsi="Roboto"/>
          <w:sz w:val="20"/>
          <w:szCs w:val="20"/>
        </w:rPr>
        <w:t xml:space="preserve">oraz przeprowadzanie w imieniu Zamawiającego procesu homologacji i uzyskanie zezwolenia na dopuszczenie do obrotu dla </w:t>
      </w:r>
      <w:r w:rsidR="00771F4E" w:rsidRPr="00184BE8">
        <w:rPr>
          <w:rFonts w:ascii="Roboto" w:hAnsi="Roboto"/>
          <w:sz w:val="20"/>
          <w:szCs w:val="20"/>
        </w:rPr>
        <w:t xml:space="preserve">modernizowanych </w:t>
      </w:r>
      <w:r w:rsidRPr="00184BE8">
        <w:rPr>
          <w:rFonts w:ascii="Roboto" w:hAnsi="Roboto"/>
          <w:sz w:val="20"/>
          <w:szCs w:val="20"/>
        </w:rPr>
        <w:t xml:space="preserve">lokomotyw dla wszystkich obszarów użytkowania dla których lokomotywy posiadały zezwolenie przed modernizacją. </w:t>
      </w:r>
    </w:p>
    <w:p w14:paraId="513D8648" w14:textId="77777777" w:rsidR="00771F4E" w:rsidRPr="00184BE8" w:rsidRDefault="007D740E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 xml:space="preserve">System </w:t>
      </w:r>
      <w:r w:rsidR="00771F4E" w:rsidRPr="00184BE8">
        <w:rPr>
          <w:rFonts w:ascii="Roboto" w:hAnsi="Roboto"/>
          <w:sz w:val="20"/>
          <w:szCs w:val="20"/>
        </w:rPr>
        <w:t xml:space="preserve">ETCS </w:t>
      </w:r>
      <w:r w:rsidRPr="00184BE8">
        <w:rPr>
          <w:rFonts w:ascii="Roboto" w:hAnsi="Roboto"/>
          <w:sz w:val="20"/>
          <w:szCs w:val="20"/>
        </w:rPr>
        <w:t xml:space="preserve">powinien spełniać wymagania TSI CCS (Rozporządzenie Wykonawcze Komisji (UE) 2023/1695 z dnia 10 sierpnia 2023r.), Single Set of </w:t>
      </w:r>
      <w:proofErr w:type="spellStart"/>
      <w:r w:rsidRPr="00184BE8">
        <w:rPr>
          <w:rFonts w:ascii="Roboto" w:hAnsi="Roboto"/>
          <w:sz w:val="20"/>
          <w:szCs w:val="20"/>
        </w:rPr>
        <w:t>Specifications</w:t>
      </w:r>
      <w:proofErr w:type="spellEnd"/>
      <w:r w:rsidRPr="00184BE8">
        <w:rPr>
          <w:rFonts w:ascii="Roboto" w:hAnsi="Roboto"/>
          <w:sz w:val="20"/>
          <w:szCs w:val="20"/>
        </w:rPr>
        <w:t xml:space="preserve"> SRS 4.0.0, system version SV 2.1. lub wyższą, zapewniać współpracę z systemami klasy B i rejestratorem prawnym zainstalowanymi na pojeździe, pracować w zakresie temperatur -30˚C do 40˚C wg EN 50125-1</w:t>
      </w:r>
      <w:r w:rsidR="00771F4E" w:rsidRPr="00184BE8">
        <w:rPr>
          <w:rFonts w:ascii="Roboto" w:hAnsi="Roboto"/>
          <w:sz w:val="20"/>
          <w:szCs w:val="20"/>
        </w:rPr>
        <w:t>.</w:t>
      </w:r>
    </w:p>
    <w:p w14:paraId="1E5A5BAE" w14:textId="77777777" w:rsidR="00771F4E" w:rsidRPr="00184BE8" w:rsidRDefault="00771F4E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I</w:t>
      </w:r>
      <w:r w:rsidR="007D740E" w:rsidRPr="00184BE8">
        <w:rPr>
          <w:rFonts w:ascii="Roboto" w:hAnsi="Roboto"/>
          <w:sz w:val="20"/>
          <w:szCs w:val="20"/>
        </w:rPr>
        <w:t xml:space="preserve">nstalacja </w:t>
      </w:r>
      <w:r w:rsidRPr="00184BE8">
        <w:rPr>
          <w:rFonts w:ascii="Roboto" w:hAnsi="Roboto"/>
          <w:sz w:val="20"/>
          <w:szCs w:val="20"/>
        </w:rPr>
        <w:t xml:space="preserve">systemu ETCS </w:t>
      </w:r>
      <w:r w:rsidR="007D740E" w:rsidRPr="00184BE8">
        <w:rPr>
          <w:rFonts w:ascii="Roboto" w:hAnsi="Roboto"/>
          <w:sz w:val="20"/>
          <w:szCs w:val="20"/>
        </w:rPr>
        <w:t>i późniejsze użytkowanie nie powinno mieć negatywnego wypływu na aspekty środowiskowe (DHNS), oraz zapewniać ergonomie pracy maszynisty.</w:t>
      </w:r>
    </w:p>
    <w:p w14:paraId="4B68A7BE" w14:textId="18D0FA2F" w:rsidR="008F2881" w:rsidRPr="00184BE8" w:rsidRDefault="008F2881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System musi być ponadto wykonany w taki sposób, aby można było po jego zainstalowaniu przeprowadzić wszystkie niezbędne scenariusze testów kompatybilności ESC dla obszarów użytkowania dla których pojazd posiada zezwolenie. Za wykonanie testów kompatybilności w imieniu Zamawiającego odpowiada Wykonawca.</w:t>
      </w:r>
    </w:p>
    <w:p w14:paraId="19741270" w14:textId="77777777" w:rsidR="00771F4E" w:rsidRPr="00184BE8" w:rsidRDefault="00771F4E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Zakres techniczny:</w:t>
      </w:r>
    </w:p>
    <w:p w14:paraId="0C6CBDB7" w14:textId="3402C3DA" w:rsidR="00771F4E" w:rsidRPr="00184BE8" w:rsidRDefault="00411185" w:rsidP="00184BE8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lastRenderedPageBreak/>
        <w:t xml:space="preserve">Urządzenia pokładowe obejmujące: </w:t>
      </w:r>
      <w:r w:rsidR="0019517C" w:rsidRPr="00184BE8">
        <w:rPr>
          <w:rFonts w:ascii="Roboto" w:hAnsi="Roboto"/>
          <w:sz w:val="20"/>
          <w:szCs w:val="20"/>
        </w:rPr>
        <w:t xml:space="preserve">Driver </w:t>
      </w:r>
      <w:proofErr w:type="spellStart"/>
      <w:r w:rsidR="0019517C" w:rsidRPr="00184BE8">
        <w:rPr>
          <w:rFonts w:ascii="Roboto" w:hAnsi="Roboto"/>
          <w:sz w:val="20"/>
          <w:szCs w:val="20"/>
        </w:rPr>
        <w:t>Machune</w:t>
      </w:r>
      <w:proofErr w:type="spellEnd"/>
      <w:r w:rsidR="0019517C" w:rsidRPr="00184BE8">
        <w:rPr>
          <w:rFonts w:ascii="Roboto" w:hAnsi="Roboto"/>
          <w:sz w:val="20"/>
          <w:szCs w:val="20"/>
        </w:rPr>
        <w:t xml:space="preserve"> </w:t>
      </w:r>
      <w:proofErr w:type="spellStart"/>
      <w:r w:rsidR="0019517C" w:rsidRPr="00184BE8">
        <w:rPr>
          <w:rFonts w:ascii="Roboto" w:hAnsi="Roboto"/>
          <w:sz w:val="20"/>
          <w:szCs w:val="20"/>
        </w:rPr>
        <w:t>IUnterface</w:t>
      </w:r>
      <w:proofErr w:type="spellEnd"/>
      <w:r w:rsidR="0019517C" w:rsidRPr="00184BE8">
        <w:rPr>
          <w:rFonts w:ascii="Roboto" w:hAnsi="Roboto"/>
          <w:sz w:val="20"/>
          <w:szCs w:val="20"/>
        </w:rPr>
        <w:t xml:space="preserve"> (DMI), Data </w:t>
      </w:r>
      <w:proofErr w:type="spellStart"/>
      <w:r w:rsidR="0019517C" w:rsidRPr="00184BE8">
        <w:rPr>
          <w:rFonts w:ascii="Roboto" w:hAnsi="Roboto"/>
          <w:sz w:val="20"/>
          <w:szCs w:val="20"/>
        </w:rPr>
        <w:t>recorder</w:t>
      </w:r>
      <w:proofErr w:type="spellEnd"/>
      <w:r w:rsidR="0019517C" w:rsidRPr="00184BE8">
        <w:rPr>
          <w:rFonts w:ascii="Roboto" w:hAnsi="Roboto"/>
          <w:sz w:val="20"/>
          <w:szCs w:val="20"/>
        </w:rPr>
        <w:t xml:space="preserve"> (JRU) and ECN/MVB </w:t>
      </w:r>
      <w:proofErr w:type="spellStart"/>
      <w:r w:rsidR="0019517C" w:rsidRPr="00184BE8">
        <w:rPr>
          <w:rFonts w:ascii="Roboto" w:hAnsi="Roboto"/>
          <w:sz w:val="20"/>
          <w:szCs w:val="20"/>
        </w:rPr>
        <w:t>gateway</w:t>
      </w:r>
      <w:proofErr w:type="spellEnd"/>
      <w:r w:rsidR="0019517C" w:rsidRPr="00184BE8">
        <w:rPr>
          <w:rFonts w:ascii="Roboto" w:hAnsi="Roboto"/>
          <w:sz w:val="20"/>
          <w:szCs w:val="20"/>
        </w:rPr>
        <w:t xml:space="preserve">, NVC </w:t>
      </w:r>
      <w:proofErr w:type="spellStart"/>
      <w:r w:rsidR="0019517C" w:rsidRPr="00184BE8">
        <w:rPr>
          <w:rFonts w:ascii="Roboto" w:hAnsi="Roboto"/>
          <w:sz w:val="20"/>
          <w:szCs w:val="20"/>
        </w:rPr>
        <w:t>Calculator</w:t>
      </w:r>
      <w:proofErr w:type="spellEnd"/>
      <w:r w:rsidR="0019517C" w:rsidRPr="00184BE8">
        <w:rPr>
          <w:rFonts w:ascii="Roboto" w:hAnsi="Roboto"/>
          <w:sz w:val="20"/>
          <w:szCs w:val="20"/>
        </w:rPr>
        <w:t>, BTM (</w:t>
      </w:r>
      <w:proofErr w:type="spellStart"/>
      <w:r w:rsidR="0019517C" w:rsidRPr="00184BE8">
        <w:rPr>
          <w:rFonts w:ascii="Roboto" w:hAnsi="Roboto"/>
          <w:sz w:val="20"/>
          <w:szCs w:val="20"/>
        </w:rPr>
        <w:t>Balise</w:t>
      </w:r>
      <w:proofErr w:type="spellEnd"/>
      <w:r w:rsidR="0019517C" w:rsidRPr="00184BE8">
        <w:rPr>
          <w:rFonts w:ascii="Roboto" w:hAnsi="Roboto"/>
          <w:sz w:val="20"/>
          <w:szCs w:val="20"/>
        </w:rPr>
        <w:t xml:space="preserve"> </w:t>
      </w:r>
      <w:proofErr w:type="spellStart"/>
      <w:r w:rsidR="0019517C" w:rsidRPr="00184BE8">
        <w:rPr>
          <w:rFonts w:ascii="Roboto" w:hAnsi="Roboto"/>
          <w:sz w:val="20"/>
          <w:szCs w:val="20"/>
        </w:rPr>
        <w:t>Transmission</w:t>
      </w:r>
      <w:proofErr w:type="spellEnd"/>
      <w:r w:rsidR="0019517C" w:rsidRPr="00184BE8">
        <w:rPr>
          <w:rFonts w:ascii="Roboto" w:hAnsi="Roboto"/>
          <w:sz w:val="20"/>
          <w:szCs w:val="20"/>
        </w:rPr>
        <w:t xml:space="preserve"> Module), TIU, JRU oraz pozostałe konieczne dla działania systemu. </w:t>
      </w:r>
    </w:p>
    <w:p w14:paraId="26608D81" w14:textId="59CC3789" w:rsidR="00771F4E" w:rsidRPr="00184BE8" w:rsidRDefault="00411185" w:rsidP="00184BE8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 xml:space="preserve">Integracja z systemami pokładowymi </w:t>
      </w:r>
      <w:r w:rsidR="009971F0" w:rsidRPr="00184BE8">
        <w:rPr>
          <w:rFonts w:ascii="Roboto" w:hAnsi="Roboto"/>
          <w:sz w:val="20"/>
          <w:szCs w:val="20"/>
        </w:rPr>
        <w:t>SHP i PZB</w:t>
      </w:r>
      <w:r w:rsidRPr="00184BE8">
        <w:rPr>
          <w:rFonts w:ascii="Roboto" w:hAnsi="Roboto"/>
          <w:sz w:val="20"/>
          <w:szCs w:val="20"/>
        </w:rPr>
        <w:t xml:space="preserve"> oraz innymi wymaganymi systemami pojazdowymi</w:t>
      </w:r>
      <w:r w:rsidR="008F2881" w:rsidRPr="00184BE8">
        <w:rPr>
          <w:rFonts w:ascii="Roboto" w:hAnsi="Roboto"/>
          <w:sz w:val="20"/>
          <w:szCs w:val="20"/>
        </w:rPr>
        <w:t>.</w:t>
      </w:r>
    </w:p>
    <w:p w14:paraId="359F7060" w14:textId="535AD66D" w:rsidR="00411185" w:rsidRPr="00184BE8" w:rsidRDefault="00771F4E" w:rsidP="00184BE8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Wymagana kompatybilność z systemami</w:t>
      </w:r>
      <w:r w:rsidR="009971F0" w:rsidRPr="00184BE8">
        <w:rPr>
          <w:rFonts w:ascii="Roboto" w:hAnsi="Roboto"/>
          <w:sz w:val="20"/>
          <w:szCs w:val="20"/>
        </w:rPr>
        <w:t xml:space="preserve"> SHP i PZB</w:t>
      </w:r>
      <w:r w:rsidR="008F2881" w:rsidRPr="00184BE8">
        <w:rPr>
          <w:rFonts w:ascii="Roboto" w:hAnsi="Roboto"/>
          <w:sz w:val="20"/>
          <w:szCs w:val="20"/>
        </w:rPr>
        <w:t>.</w:t>
      </w:r>
    </w:p>
    <w:p w14:paraId="2F97B8A0" w14:textId="6A2B772E" w:rsidR="008F2881" w:rsidRPr="00184BE8" w:rsidRDefault="008F2881" w:rsidP="00184BE8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Wykonawca dodatkowo dostarczy urządzenia do wykonywania utrzymania i legalizacji dostarczonego sytemu ETCS wraz z niezbędnym oprogramowaniem i okablowaniem niezbędnym do podłączenia urządzeń diagnostycznych do oferowanego systemu.</w:t>
      </w:r>
    </w:p>
    <w:p w14:paraId="4CA2D58D" w14:textId="4CA18EE9" w:rsidR="00411185" w:rsidRPr="00184BE8" w:rsidRDefault="00771F4E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Wykonawca zapewni w</w:t>
      </w:r>
      <w:r w:rsidR="00411185" w:rsidRPr="00184BE8">
        <w:rPr>
          <w:rFonts w:ascii="Roboto" w:hAnsi="Roboto"/>
          <w:sz w:val="20"/>
          <w:szCs w:val="20"/>
        </w:rPr>
        <w:t>sparcie techniczne w okresie gwarancyjnym (minimum 24 miesiące od odbioru lub zgodnie z ofertą);</w:t>
      </w:r>
    </w:p>
    <w:p w14:paraId="014C94CB" w14:textId="77777777" w:rsidR="007D740E" w:rsidRPr="00184BE8" w:rsidRDefault="007D740E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 xml:space="preserve">Wraz z systemem ETCS wykonawca wykona i dostarczy dokumentację zainstalowanego systemu: </w:t>
      </w:r>
    </w:p>
    <w:p w14:paraId="75AEB992" w14:textId="19CF33A6" w:rsidR="007D740E" w:rsidRPr="00184BE8" w:rsidRDefault="00771F4E" w:rsidP="00184BE8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d</w:t>
      </w:r>
      <w:r w:rsidR="007D740E" w:rsidRPr="00184BE8">
        <w:rPr>
          <w:rFonts w:ascii="Roboto" w:hAnsi="Roboto"/>
          <w:sz w:val="20"/>
          <w:szCs w:val="20"/>
        </w:rPr>
        <w:t xml:space="preserve">okumentacja techniczno-ruchowa systemu (w skrócie DTR) i Warunki techniczne wykonania i odbioru systemu na o zabudowie na lokomotywie  (w skrócie </w:t>
      </w:r>
      <w:proofErr w:type="spellStart"/>
      <w:r w:rsidR="007D740E" w:rsidRPr="00184BE8">
        <w:rPr>
          <w:rFonts w:ascii="Roboto" w:hAnsi="Roboto"/>
          <w:sz w:val="20"/>
          <w:szCs w:val="20"/>
        </w:rPr>
        <w:t>WTWiO</w:t>
      </w:r>
      <w:proofErr w:type="spellEnd"/>
      <w:r w:rsidR="007D740E" w:rsidRPr="00184BE8">
        <w:rPr>
          <w:rFonts w:ascii="Roboto" w:hAnsi="Roboto"/>
          <w:sz w:val="20"/>
          <w:szCs w:val="20"/>
        </w:rPr>
        <w:t>) oraz dokona modyfikacji Dokumentacji Systemu Utrzymania modernizowanej lokomotywy w zakresie dotyczącym modernizacji sytemu ETCS na pojeździe lub dostarczy Suplement Dokumentacji Systemu Utrzymania zawierający szczegółowy opis zmian/aktualizacji dla czynności/poziomów utrzymaniowych pojazdu, które Zamawiający powinien wprowadzić do Dokumentacji Systemu Utrzymania, w związku z zamontowanym na pojeździe systemem ETCS (w skrócie DSU).</w:t>
      </w:r>
    </w:p>
    <w:p w14:paraId="496D77F0" w14:textId="25A63E3F" w:rsidR="00411185" w:rsidRPr="00184BE8" w:rsidRDefault="00E27F1B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Wykonawca dostarczy dodatkowo dokumentację konstrukcyjną instalacji sytemu ETCS na pojeździe umożliwiającą na jej podstawie weryfikację zabudowy systemu na pojeździe oraz przeprowadzenie diagnostyki/ napraw lub wymiany komponentów systemu oraz wykaz wszystkich komponentów zamontowanego systemu ETCS.</w:t>
      </w:r>
    </w:p>
    <w:p w14:paraId="02F86551" w14:textId="03986CAB" w:rsidR="002F7330" w:rsidRPr="00184BE8" w:rsidRDefault="008F2881" w:rsidP="00184BE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184BE8">
        <w:rPr>
          <w:rFonts w:ascii="Roboto" w:hAnsi="Roboto"/>
          <w:sz w:val="20"/>
          <w:szCs w:val="20"/>
        </w:rPr>
        <w:t>Wykonawca przeprowadzi szkolenie personelu Zamawiającego z zakresu obsługi i utrzymania systemu ETCS, przy czym dokładny termin, miejsce oraz zakres szkolenia Strony uzgodnią nie później niż 14 (czternaście) dni przed terminem rozpoczęcia odbiorów technicznych pierwszej lokomotywy.</w:t>
      </w:r>
      <w:r w:rsidR="00F85DD1" w:rsidRPr="00184BE8">
        <w:rPr>
          <w:rFonts w:ascii="Roboto" w:hAnsi="Roboto"/>
          <w:sz w:val="20"/>
          <w:szCs w:val="20"/>
        </w:rPr>
        <w:t xml:space="preserve"> Wykonawca ponadto na formularzu ofertowym przedstawi koszty wykonania szkolenia personelu w zakresie: obsługi i utrzymania systemu ERTMS oraz instalacji kluczy RBC w OBU zgodnie z pozycjami zawartymi w ofercie. Zamawiający wymaga od Wykonawcy zagwarantowania wykonania ww. szkoleń w cenie podanej w formularzu ofertowym przez okres do 12 miesięcy od dnia odbioru ostatniej z Lokomotyw</w:t>
      </w:r>
      <w:r w:rsidR="00F33BF9" w:rsidRPr="00184BE8">
        <w:rPr>
          <w:rFonts w:ascii="Roboto" w:hAnsi="Roboto"/>
          <w:sz w:val="20"/>
          <w:szCs w:val="20"/>
        </w:rPr>
        <w:t>.</w:t>
      </w:r>
    </w:p>
    <w:sectPr w:rsidR="002F7330" w:rsidRPr="0018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D5F51" w14:textId="77777777" w:rsidR="00184BE8" w:rsidRDefault="00184BE8" w:rsidP="00184BE8">
      <w:pPr>
        <w:spacing w:after="0" w:line="240" w:lineRule="auto"/>
      </w:pPr>
      <w:r>
        <w:separator/>
      </w:r>
    </w:p>
  </w:endnote>
  <w:endnote w:type="continuationSeparator" w:id="0">
    <w:p w14:paraId="7C245C1B" w14:textId="77777777" w:rsidR="00184BE8" w:rsidRDefault="00184BE8" w:rsidP="00184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B9F27" w14:textId="77777777" w:rsidR="00184BE8" w:rsidRDefault="00184BE8" w:rsidP="00184BE8">
      <w:pPr>
        <w:spacing w:after="0" w:line="240" w:lineRule="auto"/>
      </w:pPr>
      <w:r>
        <w:separator/>
      </w:r>
    </w:p>
  </w:footnote>
  <w:footnote w:type="continuationSeparator" w:id="0">
    <w:p w14:paraId="3ECF4AF6" w14:textId="77777777" w:rsidR="00184BE8" w:rsidRDefault="00184BE8" w:rsidP="00184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773B"/>
    <w:multiLevelType w:val="hybridMultilevel"/>
    <w:tmpl w:val="BC940C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7D319D"/>
    <w:multiLevelType w:val="hybridMultilevel"/>
    <w:tmpl w:val="4AD2E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D2651"/>
    <w:multiLevelType w:val="hybridMultilevel"/>
    <w:tmpl w:val="76D8C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E7316"/>
    <w:multiLevelType w:val="hybridMultilevel"/>
    <w:tmpl w:val="37005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D52FE"/>
    <w:multiLevelType w:val="hybridMultilevel"/>
    <w:tmpl w:val="3FE80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80DCA"/>
    <w:multiLevelType w:val="hybridMultilevel"/>
    <w:tmpl w:val="3C5277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467A4A"/>
    <w:multiLevelType w:val="hybridMultilevel"/>
    <w:tmpl w:val="B2B08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646775">
    <w:abstractNumId w:val="3"/>
  </w:num>
  <w:num w:numId="2" w16cid:durableId="1412386671">
    <w:abstractNumId w:val="1"/>
  </w:num>
  <w:num w:numId="3" w16cid:durableId="1428765674">
    <w:abstractNumId w:val="2"/>
  </w:num>
  <w:num w:numId="4" w16cid:durableId="979068376">
    <w:abstractNumId w:val="4"/>
  </w:num>
  <w:num w:numId="5" w16cid:durableId="1078136891">
    <w:abstractNumId w:val="5"/>
  </w:num>
  <w:num w:numId="6" w16cid:durableId="1104497858">
    <w:abstractNumId w:val="0"/>
  </w:num>
  <w:num w:numId="7" w16cid:durableId="1193151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30"/>
    <w:rsid w:val="00173D5F"/>
    <w:rsid w:val="00184BE8"/>
    <w:rsid w:val="0019517C"/>
    <w:rsid w:val="002948AE"/>
    <w:rsid w:val="002F7330"/>
    <w:rsid w:val="00302843"/>
    <w:rsid w:val="00411185"/>
    <w:rsid w:val="004158FC"/>
    <w:rsid w:val="00471B30"/>
    <w:rsid w:val="0060123F"/>
    <w:rsid w:val="00662CCE"/>
    <w:rsid w:val="006F4874"/>
    <w:rsid w:val="00771F4E"/>
    <w:rsid w:val="007D740E"/>
    <w:rsid w:val="008F2881"/>
    <w:rsid w:val="0098290F"/>
    <w:rsid w:val="009971F0"/>
    <w:rsid w:val="009A420D"/>
    <w:rsid w:val="00B54D9B"/>
    <w:rsid w:val="00C576EF"/>
    <w:rsid w:val="00D3395B"/>
    <w:rsid w:val="00D91730"/>
    <w:rsid w:val="00DD5A03"/>
    <w:rsid w:val="00E27F1B"/>
    <w:rsid w:val="00E96D66"/>
    <w:rsid w:val="00F33BF9"/>
    <w:rsid w:val="00F8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C0E80"/>
  <w15:chartTrackingRefBased/>
  <w15:docId w15:val="{74A3B0EC-2091-414B-BD62-F4D36E5E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7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7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7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7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73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73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73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73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73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73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73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733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733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73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73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73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73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73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73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7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73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7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73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73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733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7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73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7330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2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2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90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84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BE8"/>
  </w:style>
  <w:style w:type="paragraph" w:styleId="Stopka">
    <w:name w:val="footer"/>
    <w:basedOn w:val="Normalny"/>
    <w:link w:val="StopkaZnak"/>
    <w:uiPriority w:val="99"/>
    <w:unhideWhenUsed/>
    <w:rsid w:val="00184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4518</Characters>
  <Application>Microsoft Office Word</Application>
  <DocSecurity>0</DocSecurity>
  <Lines>75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Martyna Mileszyk</cp:lastModifiedBy>
  <cp:revision>2</cp:revision>
  <dcterms:created xsi:type="dcterms:W3CDTF">2026-02-27T12:46:00Z</dcterms:created>
  <dcterms:modified xsi:type="dcterms:W3CDTF">2026-02-27T12:46:00Z</dcterms:modified>
</cp:coreProperties>
</file>